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BE5E7" w14:textId="3DBB79A0" w:rsidR="008D64BC" w:rsidRPr="008D64BC" w:rsidRDefault="008D64BC" w:rsidP="008D64BC">
      <w:pPr>
        <w:spacing w:line="480" w:lineRule="auto"/>
        <w:rPr>
          <w:b/>
          <w:bCs/>
        </w:rPr>
      </w:pPr>
      <w:r w:rsidRPr="008D64BC">
        <w:rPr>
          <w:b/>
          <w:bCs/>
        </w:rPr>
        <w:t>Principal Component Analysis</w:t>
      </w:r>
    </w:p>
    <w:p w14:paraId="000A7DDF" w14:textId="7A835C94" w:rsidR="008D64BC" w:rsidRDefault="008D64BC" w:rsidP="008D64BC">
      <w:pPr>
        <w:spacing w:line="480" w:lineRule="auto"/>
        <w:ind w:firstLine="720"/>
      </w:pPr>
      <w:r>
        <w:t xml:space="preserve">A principal component analysis with orthogonal rotation (varimax) was used to ensure that the cognitive tasks could be grouped together into a memory composite (visuo-spatial and verbal short-term and working memory tasks) and a phonological abilities composite score (phonological abilities in L1 and FL and acoustic abilities). The sampling adequacy was verified (Kaiser-Meyer-Olkin = .791 and Bartlett’s test of sphericity showed sufficient correlations between tasks, </w:t>
      </w:r>
      <w:r>
        <w:sym w:font="Symbol" w:char="F063"/>
      </w:r>
      <w:r>
        <w:rPr>
          <w:vertAlign w:val="superscript"/>
        </w:rPr>
        <w:t>2</w:t>
      </w:r>
      <w:r>
        <w:t xml:space="preserve"> (28) = 271.1</w:t>
      </w:r>
      <w:r w:rsidR="009C2E35">
        <w:t>9</w:t>
      </w:r>
      <w:r>
        <w:t xml:space="preserve">, </w:t>
      </w:r>
      <w:r>
        <w:rPr>
          <w:i/>
          <w:iCs/>
        </w:rPr>
        <w:t xml:space="preserve">p </w:t>
      </w:r>
      <w:r>
        <w:t xml:space="preserve">&lt; .001. The analysis revealed a 2-factor structure to the data with eigen values &gt; 1 and 57.09% of the variance explained. Table 3 shows the factor loadings after rotation. All memory tasks loaded on Factor 1 and all the phonological abilities task loaded on Factor 2. </w:t>
      </w:r>
    </w:p>
    <w:p w14:paraId="0279E8B1" w14:textId="4CE2BF22" w:rsidR="008D64BC" w:rsidRDefault="008D64BC" w:rsidP="008D64BC">
      <w:pPr>
        <w:spacing w:line="480" w:lineRule="auto"/>
        <w:ind w:firstLine="720"/>
      </w:pPr>
      <w:r>
        <w:t>A z-score was calculated for the memory tasks and the phonological abilities tasks before calculating an averaged memory composite score and an average phonological abilities composite score to use in the mixed-effects model. The vocabulary knowledge task loaded highly on Factor 1, indicating that it shared variance with the memory tasks and the acoustic task, and as such, a residual score was calculated to discount this shared variance to use in the mixed-effects model.</w:t>
      </w:r>
    </w:p>
    <w:p w14:paraId="7D94FCDD" w14:textId="7EB0FEC9" w:rsidR="008D64BC" w:rsidRPr="00EE2699" w:rsidRDefault="008D64BC" w:rsidP="008D64BC">
      <w:pPr>
        <w:spacing w:line="480" w:lineRule="auto"/>
      </w:pPr>
      <w:r>
        <w:t xml:space="preserve">Table 3: </w:t>
      </w:r>
      <w:r w:rsidR="009C2E35">
        <w:t>Rotated f</w:t>
      </w:r>
      <w:r>
        <w:t xml:space="preserve">actor loading in the principal component analysis. </w:t>
      </w:r>
    </w:p>
    <w:tbl>
      <w:tblPr>
        <w:tblW w:w="4253" w:type="dxa"/>
        <w:tblLayout w:type="fixed"/>
        <w:tblLook w:val="04A0" w:firstRow="1" w:lastRow="0" w:firstColumn="1" w:lastColumn="0" w:noHBand="0" w:noVBand="1"/>
      </w:tblPr>
      <w:tblGrid>
        <w:gridCol w:w="1418"/>
        <w:gridCol w:w="1134"/>
        <w:gridCol w:w="1701"/>
      </w:tblGrid>
      <w:tr w:rsidR="008D64BC" w:rsidRPr="00A05D83" w14:paraId="6AFDFC96" w14:textId="77777777" w:rsidTr="00422DCD">
        <w:trPr>
          <w:trHeight w:val="320"/>
        </w:trPr>
        <w:tc>
          <w:tcPr>
            <w:tcW w:w="1418" w:type="dxa"/>
            <w:tcBorders>
              <w:top w:val="single" w:sz="4" w:space="0" w:color="auto"/>
              <w:left w:val="nil"/>
              <w:bottom w:val="single" w:sz="4" w:space="0" w:color="auto"/>
              <w:right w:val="nil"/>
            </w:tcBorders>
            <w:shd w:val="clear" w:color="auto" w:fill="auto"/>
            <w:noWrap/>
            <w:hideMark/>
          </w:tcPr>
          <w:p w14:paraId="57B59B80" w14:textId="77777777" w:rsidR="008D64BC" w:rsidRPr="00D74216" w:rsidRDefault="008D64BC" w:rsidP="00422DCD">
            <w:pPr>
              <w:rPr>
                <w:sz w:val="20"/>
                <w:szCs w:val="20"/>
              </w:rPr>
            </w:pPr>
          </w:p>
        </w:tc>
        <w:tc>
          <w:tcPr>
            <w:tcW w:w="1134" w:type="dxa"/>
            <w:tcBorders>
              <w:top w:val="single" w:sz="4" w:space="0" w:color="auto"/>
              <w:left w:val="nil"/>
              <w:bottom w:val="single" w:sz="4" w:space="0" w:color="auto"/>
              <w:right w:val="nil"/>
            </w:tcBorders>
            <w:shd w:val="clear" w:color="auto" w:fill="auto"/>
            <w:noWrap/>
            <w:hideMark/>
          </w:tcPr>
          <w:p w14:paraId="6D1B6905" w14:textId="77777777" w:rsidR="008D64BC" w:rsidRDefault="008D64BC" w:rsidP="00422DCD">
            <w:pPr>
              <w:jc w:val="center"/>
              <w:rPr>
                <w:rFonts w:ascii="Calibri" w:hAnsi="Calibri" w:cs="Calibri"/>
                <w:color w:val="000000"/>
                <w:sz w:val="20"/>
                <w:szCs w:val="20"/>
              </w:rPr>
            </w:pPr>
            <w:r>
              <w:rPr>
                <w:rFonts w:ascii="Calibri" w:hAnsi="Calibri" w:cs="Calibri"/>
                <w:color w:val="000000"/>
                <w:sz w:val="20"/>
                <w:szCs w:val="20"/>
              </w:rPr>
              <w:t>Factor 1</w:t>
            </w:r>
          </w:p>
          <w:p w14:paraId="4F98D7C1"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memory</w:t>
            </w:r>
          </w:p>
        </w:tc>
        <w:tc>
          <w:tcPr>
            <w:tcW w:w="1701" w:type="dxa"/>
            <w:tcBorders>
              <w:top w:val="single" w:sz="4" w:space="0" w:color="auto"/>
              <w:left w:val="nil"/>
              <w:bottom w:val="single" w:sz="4" w:space="0" w:color="auto"/>
              <w:right w:val="nil"/>
            </w:tcBorders>
          </w:tcPr>
          <w:p w14:paraId="3599F988" w14:textId="77777777" w:rsidR="008D64BC" w:rsidRDefault="008D64BC" w:rsidP="00422DCD">
            <w:pPr>
              <w:jc w:val="center"/>
              <w:rPr>
                <w:rFonts w:ascii="Calibri" w:hAnsi="Calibri" w:cs="Calibri"/>
                <w:color w:val="000000"/>
                <w:sz w:val="20"/>
                <w:szCs w:val="20"/>
              </w:rPr>
            </w:pPr>
            <w:r>
              <w:rPr>
                <w:rFonts w:ascii="Calibri" w:hAnsi="Calibri" w:cs="Calibri"/>
                <w:color w:val="000000"/>
                <w:sz w:val="20"/>
                <w:szCs w:val="20"/>
              </w:rPr>
              <w:t>Factor 2</w:t>
            </w:r>
          </w:p>
          <w:p w14:paraId="6F0697E4"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Phonological abilities</w:t>
            </w:r>
          </w:p>
        </w:tc>
      </w:tr>
      <w:tr w:rsidR="008D64BC" w:rsidRPr="00A05D83" w14:paraId="618D2CD4" w14:textId="77777777" w:rsidTr="00422DCD">
        <w:trPr>
          <w:trHeight w:val="320"/>
        </w:trPr>
        <w:tc>
          <w:tcPr>
            <w:tcW w:w="1418" w:type="dxa"/>
            <w:tcBorders>
              <w:top w:val="nil"/>
              <w:left w:val="nil"/>
              <w:bottom w:val="nil"/>
              <w:right w:val="nil"/>
            </w:tcBorders>
            <w:shd w:val="clear" w:color="auto" w:fill="auto"/>
            <w:noWrap/>
            <w:hideMark/>
          </w:tcPr>
          <w:p w14:paraId="2CD002F3" w14:textId="77777777" w:rsidR="008D64BC" w:rsidRPr="00D74216" w:rsidRDefault="008D64BC" w:rsidP="00422DCD">
            <w:pPr>
              <w:rPr>
                <w:rFonts w:ascii="Calibri" w:hAnsi="Calibri" w:cs="Calibri"/>
                <w:color w:val="000000"/>
                <w:sz w:val="20"/>
                <w:szCs w:val="20"/>
              </w:rPr>
            </w:pPr>
            <w:r w:rsidRPr="00D74216">
              <w:rPr>
                <w:rFonts w:ascii="Calibri" w:hAnsi="Calibri" w:cs="Calibri"/>
                <w:color w:val="000000"/>
                <w:sz w:val="20"/>
                <w:szCs w:val="20"/>
              </w:rPr>
              <w:t>VSTM</w:t>
            </w:r>
          </w:p>
        </w:tc>
        <w:tc>
          <w:tcPr>
            <w:tcW w:w="1134" w:type="dxa"/>
            <w:tcBorders>
              <w:top w:val="nil"/>
              <w:left w:val="nil"/>
              <w:bottom w:val="nil"/>
              <w:right w:val="nil"/>
            </w:tcBorders>
            <w:shd w:val="clear" w:color="auto" w:fill="auto"/>
            <w:noWrap/>
            <w:hideMark/>
          </w:tcPr>
          <w:p w14:paraId="430DF2E1"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.757</w:t>
            </w:r>
          </w:p>
        </w:tc>
        <w:tc>
          <w:tcPr>
            <w:tcW w:w="1701" w:type="dxa"/>
            <w:tcBorders>
              <w:top w:val="nil"/>
              <w:left w:val="nil"/>
              <w:bottom w:val="nil"/>
              <w:right w:val="nil"/>
            </w:tcBorders>
          </w:tcPr>
          <w:p w14:paraId="092B69F9"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-.101</w:t>
            </w:r>
          </w:p>
        </w:tc>
      </w:tr>
      <w:tr w:rsidR="008D64BC" w:rsidRPr="00A05D83" w14:paraId="661981E0" w14:textId="77777777" w:rsidTr="00422DCD">
        <w:trPr>
          <w:trHeight w:val="320"/>
        </w:trPr>
        <w:tc>
          <w:tcPr>
            <w:tcW w:w="1418" w:type="dxa"/>
            <w:tcBorders>
              <w:top w:val="nil"/>
              <w:left w:val="nil"/>
              <w:bottom w:val="nil"/>
              <w:right w:val="nil"/>
            </w:tcBorders>
            <w:shd w:val="clear" w:color="auto" w:fill="auto"/>
            <w:noWrap/>
            <w:hideMark/>
          </w:tcPr>
          <w:p w14:paraId="7FFDA3C4" w14:textId="77777777" w:rsidR="008D64BC" w:rsidRPr="00D74216" w:rsidRDefault="008D64BC" w:rsidP="00422DCD">
            <w:pPr>
              <w:rPr>
                <w:rFonts w:ascii="Calibri" w:hAnsi="Calibri" w:cs="Calibri"/>
                <w:color w:val="000000"/>
                <w:sz w:val="20"/>
                <w:szCs w:val="20"/>
              </w:rPr>
            </w:pPr>
            <w:r w:rsidRPr="00D74216">
              <w:rPr>
                <w:rFonts w:ascii="Calibri" w:hAnsi="Calibri" w:cs="Calibri"/>
                <w:color w:val="000000"/>
                <w:sz w:val="20"/>
                <w:szCs w:val="20"/>
              </w:rPr>
              <w:t>SSTM</w:t>
            </w:r>
          </w:p>
        </w:tc>
        <w:tc>
          <w:tcPr>
            <w:tcW w:w="1134" w:type="dxa"/>
            <w:tcBorders>
              <w:top w:val="nil"/>
              <w:left w:val="nil"/>
              <w:bottom w:val="nil"/>
              <w:right w:val="nil"/>
            </w:tcBorders>
            <w:shd w:val="clear" w:color="auto" w:fill="auto"/>
            <w:noWrap/>
            <w:hideMark/>
          </w:tcPr>
          <w:p w14:paraId="4080A5D7" w14:textId="6D85AA1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.74</w:t>
            </w:r>
            <w:r w:rsidR="00421AA3">
              <w:rPr>
                <w:rFonts w:ascii="Calibri" w:hAnsi="Calibri" w:cs="Calibri"/>
                <w:color w:val="000000"/>
                <w:sz w:val="20"/>
                <w:szCs w:val="20"/>
              </w:rPr>
              <w:t>6</w:t>
            </w:r>
          </w:p>
        </w:tc>
        <w:tc>
          <w:tcPr>
            <w:tcW w:w="1701" w:type="dxa"/>
            <w:tcBorders>
              <w:top w:val="nil"/>
              <w:left w:val="nil"/>
              <w:bottom w:val="nil"/>
              <w:right w:val="nil"/>
            </w:tcBorders>
          </w:tcPr>
          <w:p w14:paraId="22670AE4"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.133</w:t>
            </w:r>
          </w:p>
        </w:tc>
      </w:tr>
      <w:tr w:rsidR="008D64BC" w:rsidRPr="00A05D83" w14:paraId="49BCDADE" w14:textId="77777777" w:rsidTr="00422DCD">
        <w:trPr>
          <w:trHeight w:val="320"/>
        </w:trPr>
        <w:tc>
          <w:tcPr>
            <w:tcW w:w="1418" w:type="dxa"/>
            <w:tcBorders>
              <w:top w:val="nil"/>
              <w:left w:val="nil"/>
              <w:bottom w:val="nil"/>
              <w:right w:val="nil"/>
            </w:tcBorders>
            <w:shd w:val="clear" w:color="auto" w:fill="auto"/>
            <w:noWrap/>
            <w:hideMark/>
          </w:tcPr>
          <w:p w14:paraId="7B985F4A" w14:textId="77777777" w:rsidR="008D64BC" w:rsidRPr="00D74216" w:rsidRDefault="008D64BC" w:rsidP="00422DCD">
            <w:pPr>
              <w:rPr>
                <w:rFonts w:ascii="Calibri" w:hAnsi="Calibri" w:cs="Calibri"/>
                <w:color w:val="000000"/>
                <w:sz w:val="20"/>
                <w:szCs w:val="20"/>
              </w:rPr>
            </w:pPr>
            <w:r w:rsidRPr="00D74216">
              <w:rPr>
                <w:rFonts w:ascii="Calibri" w:hAnsi="Calibri" w:cs="Calibri"/>
                <w:color w:val="000000"/>
                <w:sz w:val="20"/>
                <w:szCs w:val="20"/>
              </w:rPr>
              <w:t>VWM</w:t>
            </w:r>
          </w:p>
        </w:tc>
        <w:tc>
          <w:tcPr>
            <w:tcW w:w="1134" w:type="dxa"/>
            <w:tcBorders>
              <w:top w:val="nil"/>
              <w:left w:val="nil"/>
              <w:bottom w:val="nil"/>
              <w:right w:val="nil"/>
            </w:tcBorders>
            <w:shd w:val="clear" w:color="auto" w:fill="auto"/>
            <w:noWrap/>
            <w:hideMark/>
          </w:tcPr>
          <w:p w14:paraId="1F8C8FD2"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.823</w:t>
            </w:r>
          </w:p>
        </w:tc>
        <w:tc>
          <w:tcPr>
            <w:tcW w:w="1701" w:type="dxa"/>
            <w:tcBorders>
              <w:top w:val="nil"/>
              <w:left w:val="nil"/>
              <w:bottom w:val="nil"/>
              <w:right w:val="nil"/>
            </w:tcBorders>
          </w:tcPr>
          <w:p w14:paraId="6E764187"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.119</w:t>
            </w:r>
          </w:p>
        </w:tc>
      </w:tr>
      <w:tr w:rsidR="008D64BC" w:rsidRPr="00A05D83" w14:paraId="4C7E0531" w14:textId="77777777" w:rsidTr="00422DCD">
        <w:trPr>
          <w:trHeight w:val="320"/>
        </w:trPr>
        <w:tc>
          <w:tcPr>
            <w:tcW w:w="1418" w:type="dxa"/>
            <w:tcBorders>
              <w:top w:val="nil"/>
              <w:left w:val="nil"/>
              <w:right w:val="nil"/>
            </w:tcBorders>
            <w:shd w:val="clear" w:color="auto" w:fill="auto"/>
            <w:noWrap/>
            <w:hideMark/>
          </w:tcPr>
          <w:p w14:paraId="6D25562E" w14:textId="77777777" w:rsidR="008D64BC" w:rsidRPr="00D74216" w:rsidRDefault="008D64BC" w:rsidP="00422DCD">
            <w:pPr>
              <w:rPr>
                <w:rFonts w:ascii="Calibri" w:hAnsi="Calibri" w:cs="Calibri"/>
                <w:color w:val="000000"/>
                <w:sz w:val="20"/>
                <w:szCs w:val="20"/>
              </w:rPr>
            </w:pPr>
            <w:r w:rsidRPr="00D74216">
              <w:rPr>
                <w:rFonts w:ascii="Calibri" w:hAnsi="Calibri" w:cs="Calibri"/>
                <w:color w:val="000000"/>
                <w:sz w:val="20"/>
                <w:szCs w:val="20"/>
              </w:rPr>
              <w:t>SWM</w:t>
            </w:r>
          </w:p>
        </w:tc>
        <w:tc>
          <w:tcPr>
            <w:tcW w:w="1134" w:type="dxa"/>
            <w:tcBorders>
              <w:top w:val="nil"/>
              <w:left w:val="nil"/>
              <w:right w:val="nil"/>
            </w:tcBorders>
            <w:shd w:val="clear" w:color="auto" w:fill="auto"/>
            <w:noWrap/>
            <w:hideMark/>
          </w:tcPr>
          <w:p w14:paraId="4C681341"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.751</w:t>
            </w:r>
          </w:p>
        </w:tc>
        <w:tc>
          <w:tcPr>
            <w:tcW w:w="1701" w:type="dxa"/>
            <w:tcBorders>
              <w:top w:val="nil"/>
              <w:left w:val="nil"/>
              <w:right w:val="nil"/>
            </w:tcBorders>
          </w:tcPr>
          <w:p w14:paraId="4FB777DC"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.207</w:t>
            </w:r>
          </w:p>
        </w:tc>
      </w:tr>
      <w:tr w:rsidR="008D64BC" w:rsidRPr="00A05D83" w14:paraId="6ECA36A0" w14:textId="77777777" w:rsidTr="00422DCD">
        <w:trPr>
          <w:trHeight w:val="320"/>
        </w:trPr>
        <w:tc>
          <w:tcPr>
            <w:tcW w:w="1418" w:type="dxa"/>
            <w:tcBorders>
              <w:top w:val="nil"/>
              <w:left w:val="nil"/>
              <w:right w:val="nil"/>
            </w:tcBorders>
            <w:shd w:val="clear" w:color="auto" w:fill="auto"/>
            <w:noWrap/>
          </w:tcPr>
          <w:p w14:paraId="199A1394" w14:textId="77777777" w:rsidR="008D64BC" w:rsidRPr="00D74216" w:rsidRDefault="008D64BC" w:rsidP="00422DCD">
            <w:pPr>
              <w:rPr>
                <w:rFonts w:ascii="Calibri" w:hAnsi="Calibri" w:cs="Calibri"/>
                <w:color w:val="000000"/>
                <w:sz w:val="20"/>
                <w:szCs w:val="20"/>
              </w:rPr>
            </w:pPr>
            <w:r>
              <w:rPr>
                <w:rFonts w:ascii="Calibri" w:hAnsi="Calibri" w:cs="Calibri"/>
                <w:color w:val="000000"/>
                <w:sz w:val="20"/>
                <w:szCs w:val="20"/>
              </w:rPr>
              <w:t>Acoustic</w:t>
            </w:r>
          </w:p>
        </w:tc>
        <w:tc>
          <w:tcPr>
            <w:tcW w:w="1134" w:type="dxa"/>
            <w:tcBorders>
              <w:top w:val="nil"/>
              <w:left w:val="nil"/>
              <w:right w:val="nil"/>
            </w:tcBorders>
            <w:shd w:val="clear" w:color="auto" w:fill="auto"/>
            <w:noWrap/>
          </w:tcPr>
          <w:p w14:paraId="46EDC206" w14:textId="1577BFAC"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.34</w:t>
            </w:r>
            <w:r w:rsidR="00421AA3">
              <w:rPr>
                <w:rFonts w:ascii="Calibri" w:hAnsi="Calibri" w:cs="Calibri"/>
                <w:color w:val="000000"/>
                <w:sz w:val="20"/>
                <w:szCs w:val="20"/>
              </w:rPr>
              <w:t>4</w:t>
            </w:r>
          </w:p>
        </w:tc>
        <w:tc>
          <w:tcPr>
            <w:tcW w:w="1701" w:type="dxa"/>
            <w:tcBorders>
              <w:top w:val="nil"/>
              <w:left w:val="nil"/>
              <w:right w:val="nil"/>
            </w:tcBorders>
          </w:tcPr>
          <w:p w14:paraId="2A392EEE" w14:textId="77777777" w:rsidR="008D64BC" w:rsidRDefault="008D64BC" w:rsidP="00422DCD">
            <w:pPr>
              <w:jc w:val="center"/>
              <w:rPr>
                <w:rFonts w:ascii="Calibri" w:hAnsi="Calibri" w:cs="Calibri"/>
                <w:color w:val="000000"/>
                <w:sz w:val="20"/>
                <w:szCs w:val="20"/>
              </w:rPr>
            </w:pPr>
            <w:r>
              <w:rPr>
                <w:rFonts w:ascii="Calibri" w:hAnsi="Calibri" w:cs="Calibri"/>
                <w:color w:val="000000"/>
                <w:sz w:val="20"/>
                <w:szCs w:val="20"/>
              </w:rPr>
              <w:t>.594</w:t>
            </w:r>
          </w:p>
        </w:tc>
      </w:tr>
      <w:tr w:rsidR="008D64BC" w:rsidRPr="00A05D83" w14:paraId="4280135F" w14:textId="77777777" w:rsidTr="00422DCD">
        <w:trPr>
          <w:trHeight w:val="320"/>
        </w:trPr>
        <w:tc>
          <w:tcPr>
            <w:tcW w:w="1418" w:type="dxa"/>
            <w:tcBorders>
              <w:top w:val="nil"/>
              <w:left w:val="nil"/>
              <w:right w:val="nil"/>
            </w:tcBorders>
            <w:shd w:val="clear" w:color="auto" w:fill="auto"/>
            <w:noWrap/>
          </w:tcPr>
          <w:p w14:paraId="5E9E93FB" w14:textId="77777777" w:rsidR="008D64BC" w:rsidRPr="00D74216" w:rsidRDefault="008D64BC" w:rsidP="00422DCD">
            <w:pPr>
              <w:rPr>
                <w:rFonts w:ascii="Calibri" w:hAnsi="Calibri" w:cs="Calibri"/>
                <w:color w:val="000000"/>
                <w:sz w:val="20"/>
                <w:szCs w:val="20"/>
              </w:rPr>
            </w:pPr>
            <w:r w:rsidRPr="00D74216">
              <w:rPr>
                <w:rFonts w:ascii="Calibri" w:hAnsi="Calibri" w:cs="Calibri"/>
                <w:color w:val="000000"/>
                <w:sz w:val="20"/>
                <w:szCs w:val="20"/>
              </w:rPr>
              <w:t>Phono L1</w:t>
            </w:r>
          </w:p>
        </w:tc>
        <w:tc>
          <w:tcPr>
            <w:tcW w:w="1134" w:type="dxa"/>
            <w:tcBorders>
              <w:top w:val="nil"/>
              <w:left w:val="nil"/>
              <w:right w:val="nil"/>
            </w:tcBorders>
            <w:shd w:val="clear" w:color="auto" w:fill="auto"/>
            <w:noWrap/>
          </w:tcPr>
          <w:p w14:paraId="049FE7C4"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.029</w:t>
            </w:r>
          </w:p>
        </w:tc>
        <w:tc>
          <w:tcPr>
            <w:tcW w:w="1701" w:type="dxa"/>
            <w:tcBorders>
              <w:top w:val="nil"/>
              <w:left w:val="nil"/>
              <w:right w:val="nil"/>
            </w:tcBorders>
          </w:tcPr>
          <w:p w14:paraId="058B0D0B" w14:textId="77777777" w:rsidR="008D64BC" w:rsidRDefault="008D64BC" w:rsidP="00422DCD">
            <w:pPr>
              <w:jc w:val="center"/>
              <w:rPr>
                <w:rFonts w:ascii="Calibri" w:hAnsi="Calibri" w:cs="Calibri"/>
                <w:color w:val="000000"/>
                <w:sz w:val="20"/>
                <w:szCs w:val="20"/>
              </w:rPr>
            </w:pPr>
            <w:r>
              <w:rPr>
                <w:rFonts w:ascii="Calibri" w:hAnsi="Calibri" w:cs="Calibri"/>
                <w:color w:val="000000"/>
                <w:sz w:val="20"/>
                <w:szCs w:val="20"/>
              </w:rPr>
              <w:t>.783</w:t>
            </w:r>
          </w:p>
        </w:tc>
      </w:tr>
      <w:tr w:rsidR="008D64BC" w:rsidRPr="00A05D83" w14:paraId="257C2AEA" w14:textId="77777777" w:rsidTr="00422DCD">
        <w:trPr>
          <w:trHeight w:val="320"/>
        </w:trPr>
        <w:tc>
          <w:tcPr>
            <w:tcW w:w="1418" w:type="dxa"/>
            <w:tcBorders>
              <w:top w:val="nil"/>
              <w:left w:val="nil"/>
              <w:right w:val="nil"/>
            </w:tcBorders>
            <w:shd w:val="clear" w:color="auto" w:fill="auto"/>
            <w:noWrap/>
          </w:tcPr>
          <w:p w14:paraId="4673FC14" w14:textId="77777777" w:rsidR="008D64BC" w:rsidRPr="00D74216" w:rsidRDefault="008D64BC" w:rsidP="00422DCD">
            <w:pPr>
              <w:rPr>
                <w:rFonts w:ascii="Calibri" w:hAnsi="Calibri" w:cs="Calibri"/>
                <w:color w:val="000000"/>
                <w:sz w:val="20"/>
                <w:szCs w:val="20"/>
              </w:rPr>
            </w:pPr>
            <w:r w:rsidRPr="00D74216">
              <w:rPr>
                <w:rFonts w:ascii="Calibri" w:hAnsi="Calibri" w:cs="Calibri"/>
                <w:color w:val="000000"/>
                <w:sz w:val="20"/>
                <w:szCs w:val="20"/>
              </w:rPr>
              <w:t>Phono FL</w:t>
            </w:r>
          </w:p>
        </w:tc>
        <w:tc>
          <w:tcPr>
            <w:tcW w:w="1134" w:type="dxa"/>
            <w:tcBorders>
              <w:top w:val="nil"/>
              <w:left w:val="nil"/>
              <w:right w:val="nil"/>
            </w:tcBorders>
            <w:shd w:val="clear" w:color="auto" w:fill="auto"/>
            <w:noWrap/>
          </w:tcPr>
          <w:p w14:paraId="6A9A5990" w14:textId="6784AE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.05</w:t>
            </w:r>
            <w:r w:rsidR="00421AA3">
              <w:rPr>
                <w:rFonts w:ascii="Calibri" w:hAnsi="Calibri" w:cs="Calibri"/>
                <w:color w:val="000000"/>
                <w:sz w:val="20"/>
                <w:szCs w:val="20"/>
              </w:rPr>
              <w:t>1</w:t>
            </w:r>
          </w:p>
        </w:tc>
        <w:tc>
          <w:tcPr>
            <w:tcW w:w="1701" w:type="dxa"/>
            <w:tcBorders>
              <w:top w:val="nil"/>
              <w:left w:val="nil"/>
              <w:right w:val="nil"/>
            </w:tcBorders>
          </w:tcPr>
          <w:p w14:paraId="3E6AE266" w14:textId="61851A40" w:rsidR="008D64BC" w:rsidRDefault="008D64BC" w:rsidP="00422DCD">
            <w:pPr>
              <w:jc w:val="center"/>
              <w:rPr>
                <w:rFonts w:ascii="Calibri" w:hAnsi="Calibri" w:cs="Calibri"/>
                <w:color w:val="000000"/>
                <w:sz w:val="20"/>
                <w:szCs w:val="20"/>
              </w:rPr>
            </w:pPr>
            <w:r>
              <w:rPr>
                <w:rFonts w:ascii="Calibri" w:hAnsi="Calibri" w:cs="Calibri"/>
                <w:color w:val="000000"/>
                <w:sz w:val="20"/>
                <w:szCs w:val="20"/>
              </w:rPr>
              <w:t>.76</w:t>
            </w:r>
            <w:r w:rsidR="00421AA3">
              <w:rPr>
                <w:rFonts w:ascii="Calibri" w:hAnsi="Calibri" w:cs="Calibri"/>
                <w:color w:val="000000"/>
                <w:sz w:val="20"/>
                <w:szCs w:val="20"/>
              </w:rPr>
              <w:t>0</w:t>
            </w:r>
          </w:p>
        </w:tc>
      </w:tr>
      <w:tr w:rsidR="008D64BC" w:rsidRPr="00A05D83" w14:paraId="0798401A" w14:textId="77777777" w:rsidTr="00422DCD">
        <w:trPr>
          <w:trHeight w:val="320"/>
        </w:trPr>
        <w:tc>
          <w:tcPr>
            <w:tcW w:w="1418" w:type="dxa"/>
            <w:tcBorders>
              <w:top w:val="nil"/>
              <w:left w:val="nil"/>
              <w:bottom w:val="single" w:sz="4" w:space="0" w:color="000000"/>
              <w:right w:val="nil"/>
            </w:tcBorders>
            <w:shd w:val="clear" w:color="auto" w:fill="auto"/>
            <w:noWrap/>
            <w:hideMark/>
          </w:tcPr>
          <w:p w14:paraId="27870DE7" w14:textId="77777777" w:rsidR="008D64BC" w:rsidRPr="00D74216" w:rsidRDefault="008D64BC" w:rsidP="00422DCD">
            <w:pPr>
              <w:rPr>
                <w:rFonts w:ascii="Calibri" w:hAnsi="Calibri" w:cs="Calibri"/>
                <w:color w:val="000000"/>
                <w:sz w:val="20"/>
                <w:szCs w:val="20"/>
              </w:rPr>
            </w:pPr>
            <w:r w:rsidRPr="00D74216">
              <w:rPr>
                <w:rFonts w:ascii="Calibri" w:hAnsi="Calibri" w:cs="Calibri"/>
                <w:color w:val="000000"/>
                <w:sz w:val="20"/>
                <w:szCs w:val="20"/>
              </w:rPr>
              <w:t>Vocab</w:t>
            </w:r>
          </w:p>
        </w:tc>
        <w:tc>
          <w:tcPr>
            <w:tcW w:w="1134" w:type="dxa"/>
            <w:tcBorders>
              <w:top w:val="nil"/>
              <w:left w:val="nil"/>
              <w:bottom w:val="single" w:sz="4" w:space="0" w:color="000000"/>
              <w:right w:val="nil"/>
            </w:tcBorders>
            <w:shd w:val="clear" w:color="auto" w:fill="auto"/>
            <w:noWrap/>
            <w:hideMark/>
          </w:tcPr>
          <w:p w14:paraId="032D27EB" w14:textId="77777777"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.605</w:t>
            </w:r>
          </w:p>
        </w:tc>
        <w:tc>
          <w:tcPr>
            <w:tcW w:w="1701" w:type="dxa"/>
            <w:tcBorders>
              <w:top w:val="nil"/>
              <w:left w:val="nil"/>
              <w:bottom w:val="single" w:sz="4" w:space="0" w:color="000000"/>
              <w:right w:val="nil"/>
            </w:tcBorders>
          </w:tcPr>
          <w:p w14:paraId="76612368" w14:textId="25901CC0" w:rsidR="008D64BC" w:rsidRPr="00D74216" w:rsidRDefault="008D64BC" w:rsidP="00422DCD">
            <w:pPr>
              <w:jc w:val="center"/>
              <w:rPr>
                <w:rFonts w:ascii="Calibri" w:hAnsi="Calibri" w:cs="Calibri"/>
                <w:color w:val="000000"/>
                <w:sz w:val="20"/>
                <w:szCs w:val="20"/>
              </w:rPr>
            </w:pPr>
            <w:r>
              <w:rPr>
                <w:rFonts w:ascii="Calibri" w:hAnsi="Calibri" w:cs="Calibri"/>
                <w:color w:val="000000"/>
                <w:sz w:val="20"/>
                <w:szCs w:val="20"/>
              </w:rPr>
              <w:t>.</w:t>
            </w:r>
            <w:r w:rsidR="00421AA3">
              <w:rPr>
                <w:rFonts w:ascii="Calibri" w:hAnsi="Calibri" w:cs="Calibri"/>
                <w:color w:val="000000"/>
                <w:sz w:val="20"/>
                <w:szCs w:val="20"/>
              </w:rPr>
              <w:t>285</w:t>
            </w:r>
          </w:p>
        </w:tc>
      </w:tr>
      <w:tr w:rsidR="008D64BC" w:rsidRPr="00A05D83" w14:paraId="58980737" w14:textId="77777777" w:rsidTr="00422DCD">
        <w:trPr>
          <w:trHeight w:val="320"/>
        </w:trPr>
        <w:tc>
          <w:tcPr>
            <w:tcW w:w="1418" w:type="dxa"/>
            <w:tcBorders>
              <w:top w:val="single" w:sz="4" w:space="0" w:color="000000"/>
              <w:left w:val="nil"/>
              <w:right w:val="nil"/>
            </w:tcBorders>
            <w:shd w:val="clear" w:color="auto" w:fill="auto"/>
            <w:noWrap/>
          </w:tcPr>
          <w:p w14:paraId="76DFDE76" w14:textId="77777777" w:rsidR="008D64BC" w:rsidRPr="00D74216" w:rsidRDefault="008D64BC" w:rsidP="00422DCD">
            <w:pPr>
              <w:rPr>
                <w:rFonts w:ascii="Calibri" w:hAnsi="Calibri" w:cs="Calibri"/>
                <w:color w:val="000000"/>
                <w:sz w:val="20"/>
                <w:szCs w:val="20"/>
              </w:rPr>
            </w:pPr>
            <w:r>
              <w:rPr>
                <w:rFonts w:ascii="Calibri" w:hAnsi="Calibri" w:cs="Calibri"/>
                <w:color w:val="000000"/>
                <w:sz w:val="20"/>
                <w:szCs w:val="20"/>
              </w:rPr>
              <w:t>Eigenvalues</w:t>
            </w:r>
          </w:p>
        </w:tc>
        <w:tc>
          <w:tcPr>
            <w:tcW w:w="1134" w:type="dxa"/>
            <w:tcBorders>
              <w:top w:val="single" w:sz="4" w:space="0" w:color="000000"/>
              <w:left w:val="nil"/>
              <w:right w:val="nil"/>
            </w:tcBorders>
            <w:shd w:val="clear" w:color="auto" w:fill="auto"/>
            <w:noWrap/>
          </w:tcPr>
          <w:p w14:paraId="05665DD7" w14:textId="17DBA6D3" w:rsidR="008D64BC" w:rsidRDefault="009C2E35" w:rsidP="00422DCD">
            <w:pPr>
              <w:jc w:val="center"/>
              <w:rPr>
                <w:rFonts w:ascii="Calibri" w:hAnsi="Calibri" w:cs="Calibri"/>
                <w:color w:val="000000"/>
                <w:sz w:val="20"/>
                <w:szCs w:val="20"/>
              </w:rPr>
            </w:pPr>
            <w:r>
              <w:rPr>
                <w:rFonts w:ascii="Calibri" w:hAnsi="Calibri" w:cs="Calibri"/>
                <w:color w:val="000000"/>
                <w:sz w:val="20"/>
                <w:szCs w:val="20"/>
              </w:rPr>
              <w:t>2.86</w:t>
            </w:r>
          </w:p>
        </w:tc>
        <w:tc>
          <w:tcPr>
            <w:tcW w:w="1701" w:type="dxa"/>
            <w:tcBorders>
              <w:top w:val="single" w:sz="4" w:space="0" w:color="000000"/>
              <w:left w:val="nil"/>
              <w:right w:val="nil"/>
            </w:tcBorders>
          </w:tcPr>
          <w:p w14:paraId="432AB614" w14:textId="56995B65" w:rsidR="008D64BC" w:rsidRDefault="008D64BC" w:rsidP="00422DCD">
            <w:pPr>
              <w:jc w:val="center"/>
              <w:rPr>
                <w:rFonts w:ascii="Calibri" w:hAnsi="Calibri" w:cs="Calibri"/>
                <w:color w:val="000000"/>
                <w:sz w:val="20"/>
                <w:szCs w:val="20"/>
              </w:rPr>
            </w:pPr>
            <w:r>
              <w:rPr>
                <w:rFonts w:ascii="Calibri" w:hAnsi="Calibri" w:cs="Calibri"/>
                <w:color w:val="000000"/>
                <w:sz w:val="20"/>
                <w:szCs w:val="20"/>
              </w:rPr>
              <w:t>1.</w:t>
            </w:r>
            <w:r w:rsidR="009C2E35">
              <w:rPr>
                <w:rFonts w:ascii="Calibri" w:hAnsi="Calibri" w:cs="Calibri"/>
                <w:color w:val="000000"/>
                <w:sz w:val="20"/>
                <w:szCs w:val="20"/>
              </w:rPr>
              <w:t>71</w:t>
            </w:r>
          </w:p>
        </w:tc>
      </w:tr>
      <w:tr w:rsidR="008D64BC" w:rsidRPr="00A05D83" w14:paraId="22C5C914" w14:textId="77777777" w:rsidTr="00422DCD">
        <w:trPr>
          <w:trHeight w:val="320"/>
        </w:trPr>
        <w:tc>
          <w:tcPr>
            <w:tcW w:w="1418" w:type="dxa"/>
            <w:tcBorders>
              <w:top w:val="nil"/>
              <w:left w:val="nil"/>
              <w:bottom w:val="single" w:sz="4" w:space="0" w:color="000000"/>
              <w:right w:val="nil"/>
            </w:tcBorders>
            <w:shd w:val="clear" w:color="auto" w:fill="auto"/>
            <w:noWrap/>
          </w:tcPr>
          <w:p w14:paraId="5B599CAD" w14:textId="77777777" w:rsidR="008D64BC" w:rsidRDefault="008D64BC" w:rsidP="00422DCD">
            <w:pPr>
              <w:rPr>
                <w:rFonts w:ascii="Calibri" w:hAnsi="Calibri" w:cs="Calibri"/>
                <w:color w:val="000000"/>
                <w:sz w:val="20"/>
                <w:szCs w:val="20"/>
              </w:rPr>
            </w:pPr>
            <w:r>
              <w:rPr>
                <w:rFonts w:ascii="Calibri" w:hAnsi="Calibri" w:cs="Calibri"/>
                <w:color w:val="000000"/>
                <w:sz w:val="20"/>
                <w:szCs w:val="20"/>
              </w:rPr>
              <w:t>% variance</w:t>
            </w:r>
          </w:p>
        </w:tc>
        <w:tc>
          <w:tcPr>
            <w:tcW w:w="1134" w:type="dxa"/>
            <w:tcBorders>
              <w:top w:val="nil"/>
              <w:left w:val="nil"/>
              <w:bottom w:val="single" w:sz="4" w:space="0" w:color="000000"/>
              <w:right w:val="nil"/>
            </w:tcBorders>
            <w:shd w:val="clear" w:color="auto" w:fill="auto"/>
            <w:noWrap/>
          </w:tcPr>
          <w:p w14:paraId="17DC6E92" w14:textId="556E1A07" w:rsidR="008D64BC" w:rsidRDefault="009C2E35" w:rsidP="00422DCD">
            <w:pPr>
              <w:jc w:val="center"/>
              <w:rPr>
                <w:rFonts w:ascii="Calibri" w:hAnsi="Calibri" w:cs="Calibri"/>
                <w:color w:val="000000"/>
                <w:sz w:val="20"/>
                <w:szCs w:val="20"/>
              </w:rPr>
            </w:pPr>
            <w:r>
              <w:rPr>
                <w:rFonts w:ascii="Calibri" w:hAnsi="Calibri" w:cs="Calibri"/>
                <w:color w:val="000000"/>
                <w:sz w:val="20"/>
                <w:szCs w:val="20"/>
              </w:rPr>
              <w:t>35.72</w:t>
            </w:r>
          </w:p>
        </w:tc>
        <w:tc>
          <w:tcPr>
            <w:tcW w:w="1701" w:type="dxa"/>
            <w:tcBorders>
              <w:top w:val="nil"/>
              <w:left w:val="nil"/>
              <w:bottom w:val="single" w:sz="4" w:space="0" w:color="000000"/>
              <w:right w:val="nil"/>
            </w:tcBorders>
          </w:tcPr>
          <w:p w14:paraId="7E8A82B8" w14:textId="305124CD" w:rsidR="008D64BC" w:rsidRDefault="009C2E35" w:rsidP="00422DCD">
            <w:pPr>
              <w:jc w:val="center"/>
              <w:rPr>
                <w:rFonts w:ascii="Calibri" w:hAnsi="Calibri" w:cs="Calibri"/>
                <w:color w:val="000000"/>
                <w:sz w:val="20"/>
                <w:szCs w:val="20"/>
              </w:rPr>
            </w:pPr>
            <w:r>
              <w:rPr>
                <w:rFonts w:ascii="Calibri" w:hAnsi="Calibri" w:cs="Calibri"/>
                <w:color w:val="000000"/>
                <w:sz w:val="20"/>
                <w:szCs w:val="20"/>
              </w:rPr>
              <w:t>21.38</w:t>
            </w:r>
          </w:p>
        </w:tc>
      </w:tr>
    </w:tbl>
    <w:p w14:paraId="18BFBE0A" w14:textId="77777777" w:rsidR="008D64BC" w:rsidRDefault="008D64BC" w:rsidP="008D64BC">
      <w:r>
        <w:rPr>
          <w:i/>
          <w:iCs/>
        </w:rPr>
        <w:lastRenderedPageBreak/>
        <w:t>Note.</w:t>
      </w:r>
      <w:r>
        <w:t xml:space="preserve"> VSTM = verbal short-term memory, SSTM = visuo-spatial short-term memory, VWM = verbal working memory, SWM = visuo-spatial working memory, Phono = phonological, Vocab = vocabulary.</w:t>
      </w:r>
    </w:p>
    <w:p w14:paraId="59B140A9" w14:textId="77777777" w:rsidR="008D64BC" w:rsidRDefault="008D64BC"/>
    <w:sectPr w:rsidR="008D64BC" w:rsidSect="00FA777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BC"/>
    <w:rsid w:val="003F1F7B"/>
    <w:rsid w:val="00421AA3"/>
    <w:rsid w:val="008D64BC"/>
    <w:rsid w:val="009C2E35"/>
    <w:rsid w:val="00FA7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825E92"/>
  <w15:chartTrackingRefBased/>
  <w15:docId w15:val="{E5C91510-506B-324C-8458-CD2CB038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4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64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Marie-Josée Bisson</dc:creator>
  <cp:keywords/>
  <dc:description/>
  <cp:lastModifiedBy>Marie-Josée Bisson</cp:lastModifiedBy>
  <cp:revision>3</cp:revision>
  <dcterms:created xsi:type="dcterms:W3CDTF">2021-09-28T09:05:00Z</dcterms:created>
  <dcterms:modified xsi:type="dcterms:W3CDTF">2021-10-14T11:42:00Z</dcterms:modified>
</cp:coreProperties>
</file>